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CESI黑体-GB2312" w:hAnsi="CESI黑体-GB2312" w:eastAsia="CESI黑体-GB2312" w:cs="CESI黑体-GB2312"/>
          <w:bCs/>
          <w:caps/>
          <w:color w:val="000000"/>
          <w:sz w:val="32"/>
          <w:szCs w:val="32"/>
        </w:rPr>
      </w:pPr>
      <w:bookmarkStart w:id="0" w:name="_GoBack"/>
      <w:bookmarkEnd w:id="0"/>
      <w:r>
        <w:rPr>
          <w:rFonts w:hint="eastAsia" w:ascii="CESI黑体-GB2312" w:hAnsi="CESI黑体-GB2312" w:eastAsia="CESI黑体-GB2312" w:cs="CESI黑体-GB2312"/>
          <w:bCs/>
          <w:caps/>
          <w:color w:val="000000"/>
          <w:sz w:val="32"/>
          <w:szCs w:val="32"/>
        </w:rPr>
        <w:t>附件1</w:t>
      </w:r>
    </w:p>
    <w:p>
      <w:pPr>
        <w:spacing w:line="560" w:lineRule="exact"/>
        <w:jc w:val="center"/>
        <w:rPr>
          <w:rFonts w:hint="eastAsia" w:ascii="仿宋" w:hAnsi="仿宋" w:eastAsia="仿宋" w:cs="仿宋"/>
          <w:color w:val="000000"/>
          <w:sz w:val="32"/>
          <w:szCs w:val="32"/>
          <w:lang w:eastAsia="zh-CN"/>
        </w:rPr>
      </w:pPr>
      <w:r>
        <w:rPr>
          <w:rFonts w:hint="eastAsia" w:ascii="宋体" w:hAnsi="宋体" w:eastAsia="宋体" w:cs="宋体"/>
          <w:b/>
          <w:bCs w:val="0"/>
          <w:caps/>
          <w:color w:val="000000"/>
          <w:sz w:val="32"/>
          <w:szCs w:val="32"/>
          <w:lang w:val="en"/>
        </w:rPr>
        <w:t>研讨</w:t>
      </w:r>
      <w:r>
        <w:rPr>
          <w:rFonts w:hint="eastAsia" w:ascii="宋体" w:hAnsi="宋体" w:eastAsia="宋体" w:cs="宋体"/>
          <w:b/>
          <w:bCs w:val="0"/>
          <w:caps/>
          <w:color w:val="000000"/>
          <w:sz w:val="32"/>
          <w:szCs w:val="32"/>
        </w:rPr>
        <w:t>班课程</w:t>
      </w:r>
      <w:r>
        <w:rPr>
          <w:rFonts w:hint="eastAsia" w:ascii="宋体" w:hAnsi="宋体" w:eastAsia="宋体" w:cs="宋体"/>
          <w:b/>
          <w:bCs w:val="0"/>
          <w:caps/>
          <w:color w:val="000000"/>
          <w:sz w:val="32"/>
          <w:szCs w:val="32"/>
          <w:lang w:eastAsia="zh-CN"/>
        </w:rPr>
        <w:t>安排</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357"/>
        <w:gridCol w:w="322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CESI仿宋-GB2312" w:hAnsi="CESI仿宋-GB2312" w:eastAsia="CESI仿宋-GB2312" w:cs="CESI仿宋-GB2312"/>
                <w:b/>
                <w:bCs/>
                <w:sz w:val="22"/>
                <w:szCs w:val="22"/>
              </w:rPr>
            </w:pPr>
            <w:r>
              <w:rPr>
                <w:rFonts w:hint="eastAsia" w:ascii="CESI仿宋-GB2312" w:hAnsi="CESI仿宋-GB2312" w:eastAsia="CESI仿宋-GB2312" w:cs="CESI仿宋-GB2312"/>
                <w:b/>
                <w:bCs/>
                <w:sz w:val="22"/>
                <w:szCs w:val="22"/>
              </w:rPr>
              <w:t>日期</w:t>
            </w:r>
          </w:p>
        </w:tc>
        <w:tc>
          <w:tcPr>
            <w:tcW w:w="1357"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CESI仿宋-GB2312" w:hAnsi="CESI仿宋-GB2312" w:eastAsia="CESI仿宋-GB2312" w:cs="CESI仿宋-GB2312"/>
                <w:b/>
                <w:bCs/>
                <w:sz w:val="22"/>
                <w:szCs w:val="22"/>
              </w:rPr>
            </w:pPr>
            <w:r>
              <w:rPr>
                <w:rFonts w:hint="eastAsia" w:ascii="CESI仿宋-GB2312" w:hAnsi="CESI仿宋-GB2312" w:eastAsia="CESI仿宋-GB2312" w:cs="CESI仿宋-GB2312"/>
                <w:b/>
                <w:bCs/>
                <w:sz w:val="22"/>
                <w:szCs w:val="22"/>
              </w:rPr>
              <w:t>时间</w:t>
            </w:r>
          </w:p>
        </w:tc>
        <w:tc>
          <w:tcPr>
            <w:tcW w:w="3220"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CESI仿宋-GB2312" w:hAnsi="CESI仿宋-GB2312" w:eastAsia="CESI仿宋-GB2312" w:cs="CESI仿宋-GB2312"/>
                <w:b/>
                <w:bCs/>
                <w:sz w:val="22"/>
                <w:szCs w:val="22"/>
              </w:rPr>
            </w:pPr>
            <w:r>
              <w:rPr>
                <w:rFonts w:hint="eastAsia" w:ascii="CESI仿宋-GB2312" w:hAnsi="CESI仿宋-GB2312" w:eastAsia="CESI仿宋-GB2312" w:cs="CESI仿宋-GB2312"/>
                <w:b/>
                <w:bCs/>
                <w:sz w:val="22"/>
                <w:szCs w:val="22"/>
              </w:rPr>
              <w:t>主要内容</w:t>
            </w:r>
          </w:p>
        </w:tc>
        <w:tc>
          <w:tcPr>
            <w:tcW w:w="2720"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CESI仿宋-GB2312" w:hAnsi="CESI仿宋-GB2312" w:eastAsia="CESI仿宋-GB2312" w:cs="CESI仿宋-GB2312"/>
                <w:b/>
                <w:bCs/>
                <w:sz w:val="22"/>
                <w:szCs w:val="22"/>
              </w:rPr>
            </w:pPr>
            <w:r>
              <w:rPr>
                <w:rFonts w:hint="eastAsia" w:ascii="CESI仿宋-GB2312" w:hAnsi="CESI仿宋-GB2312" w:eastAsia="CESI仿宋-GB2312" w:cs="CESI仿宋-GB2312"/>
                <w:b/>
                <w:bCs/>
                <w:sz w:val="22"/>
                <w:szCs w:val="22"/>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val="en-US" w:eastAsia="zh-CN"/>
              </w:rPr>
              <w:t>5</w:t>
            </w:r>
            <w:r>
              <w:rPr>
                <w:rFonts w:hint="eastAsia" w:ascii="CESI仿宋-GB2312" w:hAnsi="CESI仿宋-GB2312" w:eastAsia="CESI仿宋-GB2312" w:cs="CESI仿宋-GB2312"/>
                <w:sz w:val="22"/>
                <w:szCs w:val="22"/>
              </w:rPr>
              <w:t>月</w:t>
            </w:r>
            <w:r>
              <w:rPr>
                <w:rFonts w:hint="eastAsia" w:ascii="CESI仿宋-GB2312" w:hAnsi="CESI仿宋-GB2312" w:eastAsia="CESI仿宋-GB2312" w:cs="CESI仿宋-GB2312"/>
                <w:sz w:val="22"/>
                <w:szCs w:val="22"/>
                <w:lang w:val="en-US" w:eastAsia="zh-CN"/>
              </w:rPr>
              <w:t>16</w:t>
            </w:r>
            <w:r>
              <w:rPr>
                <w:rFonts w:hint="eastAsia" w:ascii="CESI仿宋-GB2312" w:hAnsi="CESI仿宋-GB2312" w:eastAsia="CESI仿宋-GB2312" w:cs="CESI仿宋-GB2312"/>
                <w:sz w:val="22"/>
                <w:szCs w:val="22"/>
              </w:rPr>
              <w:t>日</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（周</w:t>
            </w:r>
            <w:r>
              <w:rPr>
                <w:rFonts w:hint="eastAsia" w:ascii="CESI仿宋-GB2312" w:hAnsi="CESI仿宋-GB2312" w:eastAsia="CESI仿宋-GB2312" w:cs="CESI仿宋-GB2312"/>
                <w:sz w:val="22"/>
                <w:szCs w:val="22"/>
                <w:lang w:eastAsia="zh-CN"/>
              </w:rPr>
              <w:t>二</w:t>
            </w:r>
            <w:r>
              <w:rPr>
                <w:rFonts w:hint="eastAsia" w:ascii="CESI仿宋-GB2312" w:hAnsi="CESI仿宋-GB2312" w:eastAsia="CESI仿宋-GB2312" w:cs="CESI仿宋-GB2312"/>
                <w:sz w:val="22"/>
                <w:szCs w:val="22"/>
              </w:rPr>
              <w:t>）</w:t>
            </w:r>
          </w:p>
        </w:tc>
        <w:tc>
          <w:tcPr>
            <w:tcW w:w="135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val="en-US" w:eastAsia="zh-CN"/>
              </w:rPr>
            </w:pPr>
            <w:r>
              <w:rPr>
                <w:rFonts w:hint="eastAsia" w:ascii="CESI仿宋-GB2312" w:hAnsi="CESI仿宋-GB2312" w:eastAsia="CESI仿宋-GB2312" w:cs="CESI仿宋-GB2312"/>
                <w:sz w:val="22"/>
                <w:szCs w:val="22"/>
                <w:lang w:val="en-US" w:eastAsia="zh-CN"/>
              </w:rPr>
              <w:t>12:00-18:00</w:t>
            </w: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报到</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19:</w:t>
            </w:r>
            <w:r>
              <w:rPr>
                <w:rFonts w:hint="eastAsia" w:ascii="CESI仿宋-GB2312" w:hAnsi="CESI仿宋-GB2312" w:eastAsia="CESI仿宋-GB2312" w:cs="CESI仿宋-GB2312"/>
                <w:sz w:val="22"/>
                <w:szCs w:val="22"/>
                <w:lang w:val="en-US" w:eastAsia="zh-CN"/>
              </w:rPr>
              <w:t>0</w:t>
            </w:r>
            <w:r>
              <w:rPr>
                <w:rFonts w:hint="eastAsia" w:ascii="CESI仿宋-GB2312" w:hAnsi="CESI仿宋-GB2312" w:eastAsia="CESI仿宋-GB2312" w:cs="CESI仿宋-GB2312"/>
                <w:sz w:val="22"/>
                <w:szCs w:val="22"/>
              </w:rPr>
              <w:t>0-20:30</w:t>
            </w: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破冰团建活动</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国务院国资委干部教育</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val="en-US" w:eastAsia="zh-CN"/>
              </w:rPr>
              <w:t>5</w:t>
            </w:r>
            <w:r>
              <w:rPr>
                <w:rFonts w:hint="eastAsia" w:ascii="CESI仿宋-GB2312" w:hAnsi="CESI仿宋-GB2312" w:eastAsia="CESI仿宋-GB2312" w:cs="CESI仿宋-GB2312"/>
                <w:sz w:val="22"/>
                <w:szCs w:val="22"/>
              </w:rPr>
              <w:t>月</w:t>
            </w:r>
            <w:r>
              <w:rPr>
                <w:rFonts w:hint="eastAsia" w:ascii="CESI仿宋-GB2312" w:hAnsi="CESI仿宋-GB2312" w:eastAsia="CESI仿宋-GB2312" w:cs="CESI仿宋-GB2312"/>
                <w:sz w:val="22"/>
                <w:szCs w:val="22"/>
                <w:lang w:val="en-US" w:eastAsia="zh-CN"/>
              </w:rPr>
              <w:t>17</w:t>
            </w:r>
            <w:r>
              <w:rPr>
                <w:rFonts w:hint="eastAsia" w:ascii="CESI仿宋-GB2312" w:hAnsi="CESI仿宋-GB2312" w:eastAsia="CESI仿宋-GB2312" w:cs="CESI仿宋-GB2312"/>
                <w:sz w:val="22"/>
                <w:szCs w:val="22"/>
              </w:rPr>
              <w:t>日</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（周</w:t>
            </w:r>
            <w:r>
              <w:rPr>
                <w:rFonts w:hint="eastAsia" w:ascii="CESI仿宋-GB2312" w:hAnsi="CESI仿宋-GB2312" w:eastAsia="CESI仿宋-GB2312" w:cs="CESI仿宋-GB2312"/>
                <w:sz w:val="22"/>
                <w:szCs w:val="22"/>
                <w:lang w:eastAsia="zh-CN"/>
              </w:rPr>
              <w:t>三</w:t>
            </w:r>
            <w:r>
              <w:rPr>
                <w:rFonts w:hint="eastAsia" w:ascii="CESI仿宋-GB2312" w:hAnsi="CESI仿宋-GB2312" w:eastAsia="CESI仿宋-GB2312" w:cs="CESI仿宋-GB2312"/>
                <w:sz w:val="22"/>
                <w:szCs w:val="22"/>
              </w:rPr>
              <w:t>）</w:t>
            </w:r>
          </w:p>
        </w:tc>
        <w:tc>
          <w:tcPr>
            <w:tcW w:w="13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上午</w:t>
            </w: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开班式</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国务院国资委干部教育</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中央企业科技创新体制机制</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lang w:eastAsia="zh-CN"/>
              </w:rPr>
              <w:t>建设与发展</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eastAsia="zh-CN"/>
              </w:rPr>
              <w:t>国家科学技术</w:t>
            </w:r>
            <w:r>
              <w:rPr>
                <w:rFonts w:hint="eastAsia" w:ascii="CESI仿宋-GB2312" w:hAnsi="CESI仿宋-GB2312" w:eastAsia="CESI仿宋-GB2312" w:cs="CESI仿宋-GB2312"/>
                <w:sz w:val="22"/>
                <w:szCs w:val="22"/>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rPr>
              <w:t>全球科技趋势</w:t>
            </w:r>
            <w:r>
              <w:rPr>
                <w:rFonts w:hint="eastAsia" w:ascii="CESI仿宋-GB2312" w:hAnsi="CESI仿宋-GB2312" w:eastAsia="CESI仿宋-GB2312" w:cs="CESI仿宋-GB2312"/>
                <w:sz w:val="22"/>
                <w:szCs w:val="22"/>
                <w:lang w:eastAsia="zh-CN"/>
              </w:rPr>
              <w:t>下的</w:t>
            </w:r>
            <w:r>
              <w:rPr>
                <w:rFonts w:hint="eastAsia" w:ascii="CESI仿宋-GB2312" w:hAnsi="CESI仿宋-GB2312" w:eastAsia="CESI仿宋-GB2312" w:cs="CESI仿宋-GB2312"/>
                <w:sz w:val="22"/>
                <w:szCs w:val="22"/>
              </w:rPr>
              <w:t>创新领导力</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思维模型</w:t>
            </w:r>
            <w:r>
              <w:rPr>
                <w:rFonts w:hint="eastAsia" w:ascii="CESI仿宋-GB2312" w:hAnsi="CESI仿宋-GB2312" w:eastAsia="CESI仿宋-GB2312" w:cs="CESI仿宋-GB2312"/>
                <w:sz w:val="22"/>
                <w:szCs w:val="22"/>
                <w:lang w:eastAsia="zh-CN"/>
              </w:rPr>
              <w:t>构建</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北京中机盛世智能科技</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下午</w:t>
            </w: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val="en-US" w:eastAsia="zh-CN"/>
              </w:rPr>
            </w:pPr>
            <w:r>
              <w:rPr>
                <w:rFonts w:hint="eastAsia" w:ascii="CESI仿宋-GB2312" w:hAnsi="CESI仿宋-GB2312" w:eastAsia="CESI仿宋-GB2312" w:cs="CESI仿宋-GB2312"/>
                <w:sz w:val="22"/>
                <w:szCs w:val="22"/>
                <w:lang w:val="en-US" w:eastAsia="zh-CN"/>
              </w:rPr>
              <w:t>一流企业数字化转型与       科技创新实践</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CESI仿宋-GB2312" w:hAnsi="CESI仿宋-GB2312" w:eastAsia="CESI仿宋-GB2312" w:cs="CESI仿宋-GB2312"/>
                <w:sz w:val="22"/>
                <w:szCs w:val="22"/>
                <w:lang w:val="en-US" w:eastAsia="zh-CN"/>
              </w:rPr>
            </w:pPr>
            <w:r>
              <w:rPr>
                <w:rFonts w:hint="eastAsia" w:ascii="CESI仿宋-GB2312" w:hAnsi="CESI仿宋-GB2312" w:eastAsia="CESI仿宋-GB2312" w:cs="CESI仿宋-GB2312"/>
                <w:sz w:val="22"/>
                <w:szCs w:val="22"/>
                <w:lang w:val="en-US" w:eastAsia="zh-CN"/>
              </w:rPr>
              <w:t>中国石油国际人才培训 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CESI仿宋-GB2312" w:hAnsi="CESI仿宋-GB2312" w:eastAsia="CESI仿宋-GB2312" w:cs="CESI仿宋-GB2312"/>
                <w:sz w:val="22"/>
                <w:szCs w:val="22"/>
                <w:lang w:val="en-US" w:eastAsia="zh-CN"/>
              </w:rPr>
            </w:pPr>
            <w:r>
              <w:rPr>
                <w:rFonts w:hint="eastAsia" w:ascii="CESI仿宋-GB2312" w:hAnsi="CESI仿宋-GB2312" w:eastAsia="CESI仿宋-GB2312" w:cs="CESI仿宋-GB2312"/>
                <w:sz w:val="22"/>
                <w:szCs w:val="22"/>
                <w:lang w:val="en-US" w:eastAsia="zh-CN"/>
              </w:rPr>
              <w:t>新能源——氢能燃料电池的  创新之路</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CESI仿宋-GB2312" w:hAnsi="CESI仿宋-GB2312" w:eastAsia="CESI仿宋-GB2312" w:cs="CESI仿宋-GB2312"/>
                <w:sz w:val="22"/>
                <w:szCs w:val="22"/>
                <w:lang w:val="en-US" w:eastAsia="zh-CN"/>
              </w:rPr>
            </w:pPr>
            <w:r>
              <w:rPr>
                <w:rFonts w:hint="eastAsia" w:ascii="CESI仿宋-GB2312" w:hAnsi="CESI仿宋-GB2312" w:eastAsia="CESI仿宋-GB2312" w:cs="CESI仿宋-GB2312"/>
                <w:sz w:val="22"/>
                <w:szCs w:val="22"/>
                <w:lang w:val="en-US" w:eastAsia="zh-CN"/>
              </w:rPr>
              <w:t>国家电投集团氢能科技 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val="en-US" w:eastAsia="zh-CN"/>
              </w:rPr>
              <w:t>5</w:t>
            </w:r>
            <w:r>
              <w:rPr>
                <w:rFonts w:hint="eastAsia" w:ascii="CESI仿宋-GB2312" w:hAnsi="CESI仿宋-GB2312" w:eastAsia="CESI仿宋-GB2312" w:cs="CESI仿宋-GB2312"/>
                <w:sz w:val="22"/>
                <w:szCs w:val="22"/>
              </w:rPr>
              <w:t>月</w:t>
            </w:r>
            <w:r>
              <w:rPr>
                <w:rFonts w:hint="eastAsia" w:ascii="CESI仿宋-GB2312" w:hAnsi="CESI仿宋-GB2312" w:eastAsia="CESI仿宋-GB2312" w:cs="CESI仿宋-GB2312"/>
                <w:sz w:val="22"/>
                <w:szCs w:val="22"/>
                <w:lang w:val="en-US" w:eastAsia="zh-CN"/>
              </w:rPr>
              <w:t>18</w:t>
            </w:r>
            <w:r>
              <w:rPr>
                <w:rFonts w:hint="eastAsia" w:ascii="CESI仿宋-GB2312" w:hAnsi="CESI仿宋-GB2312" w:eastAsia="CESI仿宋-GB2312" w:cs="CESI仿宋-GB2312"/>
                <w:sz w:val="22"/>
                <w:szCs w:val="22"/>
              </w:rPr>
              <w:t>日</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（周</w:t>
            </w:r>
            <w:r>
              <w:rPr>
                <w:rFonts w:hint="eastAsia" w:ascii="CESI仿宋-GB2312" w:hAnsi="CESI仿宋-GB2312" w:eastAsia="CESI仿宋-GB2312" w:cs="CESI仿宋-GB2312"/>
                <w:sz w:val="22"/>
                <w:szCs w:val="22"/>
                <w:lang w:eastAsia="zh-CN"/>
              </w:rPr>
              <w:t>四</w:t>
            </w:r>
            <w:r>
              <w:rPr>
                <w:rFonts w:hint="eastAsia" w:ascii="CESI仿宋-GB2312" w:hAnsi="CESI仿宋-GB2312" w:eastAsia="CESI仿宋-GB2312" w:cs="CESI仿宋-GB2312"/>
                <w:sz w:val="22"/>
                <w:szCs w:val="22"/>
              </w:rPr>
              <w:t>）</w:t>
            </w:r>
          </w:p>
        </w:tc>
        <w:tc>
          <w:tcPr>
            <w:tcW w:w="13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上午</w:t>
            </w: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220" w:hanging="220" w:hangingChars="100"/>
              <w:textAlignment w:val="center"/>
              <w:rPr>
                <w:rFonts w:hint="eastAsia" w:ascii="CESI仿宋-GB2312" w:hAnsi="CESI仿宋-GB2312" w:eastAsia="CESI仿宋-GB2312" w:cs="CESI仿宋-GB2312"/>
                <w:sz w:val="22"/>
                <w:szCs w:val="22"/>
                <w:lang w:val="en-US" w:eastAsia="zh-CN"/>
              </w:rPr>
            </w:pPr>
            <w:r>
              <w:rPr>
                <w:rFonts w:hint="eastAsia" w:ascii="CESI仿宋-GB2312" w:hAnsi="CESI仿宋-GB2312" w:eastAsia="CESI仿宋-GB2312" w:cs="CESI仿宋-GB2312"/>
                <w:sz w:val="22"/>
                <w:szCs w:val="22"/>
                <w:lang w:eastAsia="zh-CN"/>
              </w:rPr>
              <w:t>中国宝武数智化发展规划与</w:t>
            </w:r>
            <w:r>
              <w:rPr>
                <w:rFonts w:hint="eastAsia" w:ascii="CESI仿宋-GB2312" w:hAnsi="CESI仿宋-GB2312" w:eastAsia="CESI仿宋-GB2312" w:cs="CESI仿宋-GB2312"/>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220" w:hanging="220" w:hangingChars="100"/>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智能工厂建设实践</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中国宝武数智办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val="en-US" w:eastAsia="zh-CN"/>
              </w:rPr>
              <w:t>中国宝武数智化转型平台建设及场景应用实践</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中国宝武工业互联网</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lang w:eastAsia="zh-CN"/>
              </w:rPr>
              <w:t>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下午</w:t>
            </w:r>
          </w:p>
        </w:tc>
        <w:tc>
          <w:tcPr>
            <w:tcW w:w="59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前往</w:t>
            </w:r>
            <w:r>
              <w:rPr>
                <w:rFonts w:hint="eastAsia" w:ascii="CESI仿宋-GB2312" w:hAnsi="CESI仿宋-GB2312" w:eastAsia="CESI仿宋-GB2312" w:cs="CESI仿宋-GB2312"/>
                <w:sz w:val="22"/>
                <w:szCs w:val="22"/>
                <w:lang w:val="en-US" w:eastAsia="zh-CN"/>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59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val="en-US" w:eastAsia="zh-CN"/>
              </w:rPr>
              <w:t>现场参观热轧2050/1580生产线、产成品物流智慧仓库、    冷轧厂C008智能车间、宝钢股份运行管控中心等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晚上</w:t>
            </w:r>
          </w:p>
        </w:tc>
        <w:tc>
          <w:tcPr>
            <w:tcW w:w="594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rPr>
              <w:t>学员分组研讨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val="en-US" w:eastAsia="zh-CN"/>
              </w:rPr>
              <w:t>5</w:t>
            </w:r>
            <w:r>
              <w:rPr>
                <w:rFonts w:hint="eastAsia" w:ascii="CESI仿宋-GB2312" w:hAnsi="CESI仿宋-GB2312" w:eastAsia="CESI仿宋-GB2312" w:cs="CESI仿宋-GB2312"/>
                <w:sz w:val="22"/>
                <w:szCs w:val="22"/>
              </w:rPr>
              <w:t>月</w:t>
            </w:r>
            <w:r>
              <w:rPr>
                <w:rFonts w:hint="eastAsia" w:ascii="CESI仿宋-GB2312" w:hAnsi="CESI仿宋-GB2312" w:eastAsia="CESI仿宋-GB2312" w:cs="CESI仿宋-GB2312"/>
                <w:sz w:val="22"/>
                <w:szCs w:val="22"/>
                <w:lang w:val="en-US" w:eastAsia="zh-CN"/>
              </w:rPr>
              <w:t>19</w:t>
            </w:r>
            <w:r>
              <w:rPr>
                <w:rFonts w:hint="eastAsia" w:ascii="CESI仿宋-GB2312" w:hAnsi="CESI仿宋-GB2312" w:eastAsia="CESI仿宋-GB2312" w:cs="CESI仿宋-GB2312"/>
                <w:sz w:val="22"/>
                <w:szCs w:val="22"/>
              </w:rPr>
              <w:t>日</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（周</w:t>
            </w:r>
            <w:r>
              <w:rPr>
                <w:rFonts w:hint="eastAsia" w:ascii="CESI仿宋-GB2312" w:hAnsi="CESI仿宋-GB2312" w:eastAsia="CESI仿宋-GB2312" w:cs="CESI仿宋-GB2312"/>
                <w:sz w:val="22"/>
                <w:szCs w:val="22"/>
                <w:lang w:eastAsia="zh-CN"/>
              </w:rPr>
              <w:t>五</w:t>
            </w:r>
            <w:r>
              <w:rPr>
                <w:rFonts w:hint="eastAsia" w:ascii="CESI仿宋-GB2312" w:hAnsi="CESI仿宋-GB2312" w:eastAsia="CESI仿宋-GB2312" w:cs="CESI仿宋-GB2312"/>
                <w:sz w:val="22"/>
                <w:szCs w:val="22"/>
              </w:rPr>
              <w:t>）</w:t>
            </w:r>
          </w:p>
        </w:tc>
        <w:tc>
          <w:tcPr>
            <w:tcW w:w="13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上午</w:t>
            </w: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宝钢股份智慧制造思路与实施</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val="en-US" w:eastAsia="zh-CN"/>
              </w:rPr>
              <w:t xml:space="preserve">宝山钢铁股份有限公司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eastAsia="zh-CN"/>
              </w:rPr>
              <w:t>基于数字经济的钢铁产成品交易及物流智慧服务体系的构建和运营实践</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val="en"/>
              </w:rPr>
              <w:t>中国</w:t>
            </w:r>
            <w:r>
              <w:rPr>
                <w:rFonts w:hint="eastAsia" w:ascii="CESI仿宋-GB2312" w:hAnsi="CESI仿宋-GB2312" w:eastAsia="CESI仿宋-GB2312" w:cs="CESI仿宋-GB2312"/>
                <w:sz w:val="22"/>
                <w:szCs w:val="22"/>
              </w:rPr>
              <w:t>宝</w:t>
            </w:r>
            <w:r>
              <w:rPr>
                <w:rFonts w:hint="eastAsia" w:ascii="CESI仿宋-GB2312" w:hAnsi="CESI仿宋-GB2312" w:eastAsia="CESI仿宋-GB2312" w:cs="CESI仿宋-GB2312"/>
                <w:sz w:val="22"/>
                <w:szCs w:val="22"/>
                <w:lang w:val="en"/>
              </w:rPr>
              <w:t>武</w:t>
            </w:r>
            <w:r>
              <w:rPr>
                <w:rFonts w:hint="eastAsia" w:ascii="CESI仿宋-GB2312" w:hAnsi="CESI仿宋-GB2312" w:eastAsia="CESI仿宋-GB2312" w:cs="CESI仿宋-GB2312"/>
                <w:sz w:val="22"/>
                <w:szCs w:val="22"/>
              </w:rPr>
              <w:t>欧冶云商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下午</w:t>
            </w: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一流企业产业数字化协同创新</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lang w:eastAsia="zh-CN"/>
              </w:rPr>
              <w:t>案例分享</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CESI仿宋-GB2312" w:hAnsi="CESI仿宋-GB2312" w:eastAsia="CESI仿宋-GB2312" w:cs="CESI仿宋-GB2312"/>
                <w:sz w:val="22"/>
                <w:szCs w:val="22"/>
                <w:lang w:eastAsia="zh-CN"/>
              </w:rPr>
            </w:pPr>
            <w:r>
              <w:rPr>
                <w:rFonts w:hint="eastAsia" w:ascii="CESI仿宋-GB2312" w:hAnsi="CESI仿宋-GB2312" w:eastAsia="CESI仿宋-GB2312" w:cs="CESI仿宋-GB2312"/>
                <w:sz w:val="22"/>
                <w:szCs w:val="22"/>
                <w:lang w:eastAsia="zh-CN"/>
              </w:rPr>
              <w:t>上海市信息网络安全协会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13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p>
        </w:tc>
        <w:tc>
          <w:tcPr>
            <w:tcW w:w="32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lang w:eastAsia="zh-CN"/>
              </w:rPr>
              <w:t>小组代表交流发言及</w:t>
            </w:r>
            <w:r>
              <w:rPr>
                <w:rFonts w:hint="eastAsia" w:ascii="CESI仿宋-GB2312" w:hAnsi="CESI仿宋-GB2312" w:eastAsia="CESI仿宋-GB2312" w:cs="CESI仿宋-GB2312"/>
                <w:sz w:val="22"/>
                <w:szCs w:val="22"/>
              </w:rPr>
              <w:t>结业式</w:t>
            </w:r>
          </w:p>
        </w:tc>
        <w:tc>
          <w:tcPr>
            <w:tcW w:w="27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sz w:val="22"/>
                <w:szCs w:val="22"/>
              </w:rPr>
              <w:t>国务院国资委干部教育</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培训中心</w:t>
            </w:r>
          </w:p>
        </w:tc>
      </w:tr>
    </w:tbl>
    <w:p>
      <w:pPr>
        <w:pStyle w:val="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600" w:lineRule="exact"/>
        <w:textAlignment w:val="auto"/>
        <w:rPr>
          <w:rFonts w:hint="default" w:ascii="仿宋" w:hAnsi="仿宋" w:eastAsia="仿宋" w:cs="黑体"/>
          <w:kern w:val="2"/>
          <w:sz w:val="32"/>
          <w:szCs w:val="32"/>
          <w:lang w:val="en-US" w:eastAsia="zh-CN" w:bidi="ar-SA"/>
        </w:rPr>
      </w:pPr>
      <w:r>
        <w:rPr>
          <w:rFonts w:hint="eastAsia" w:ascii="CESI仿宋-GB2312" w:hAnsi="CESI仿宋-GB2312" w:eastAsia="CESI仿宋-GB2312" w:cs="CESI仿宋-GB2312"/>
          <w:kern w:val="2"/>
          <w:sz w:val="22"/>
          <w:szCs w:val="22"/>
          <w:lang w:val="en-US" w:eastAsia="zh-CN" w:bidi="ar-SA"/>
        </w:rPr>
        <w:t>备注：具体内容以实际安排为准。</w:t>
      </w:r>
    </w:p>
    <w:p>
      <w:pPr>
        <w:spacing w:line="560" w:lineRule="exact"/>
        <w:jc w:val="left"/>
        <w:rPr>
          <w:rFonts w:hint="eastAsia" w:ascii="CESI黑体-GB2312" w:hAnsi="CESI黑体-GB2312" w:eastAsia="CESI黑体-GB2312" w:cs="CESI黑体-GB2312"/>
          <w:bCs/>
          <w:caps/>
          <w:color w:val="00000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774EB2"/>
    <w:rsid w:val="6FDD38B1"/>
    <w:rsid w:val="C3FFB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xiaorong</cp:lastModifiedBy>
  <dcterms:modified xsi:type="dcterms:W3CDTF">2023-03-24T15:36:18Z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